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956"/>
        <w:gridCol w:w="4956"/>
      </w:tblGrid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заседании Управляющего 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  2 от 18.03.2020</w:t>
            </w:r>
          </w:p>
        </w:tc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МДОУ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ДС № 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 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Е.Е. Кулешова/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18-ОД от 20.03.2020 г.</w:t>
            </w:r>
          </w:p>
        </w:tc>
      </w:tr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Общем собрании родителей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 1 от 20.03.2020</w:t>
            </w:r>
          </w:p>
        </w:tc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Порядке, основаниях перевода, отчисления и восстановления обучающихся общеобразовательных и дошкольных учреждений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</w:t>
        <w:tab/>
        <w:t xml:space="preserve">Положение</w:t>
        <w:tab/>
        <w:t xml:space="preserve">о</w:t>
        <w:tab/>
        <w:t xml:space="preserve">порядке</w:t>
        <w:tab/>
        <w:t xml:space="preserve">основаниях перевода. Отчисления и восстановления обучающихся общеобразовательных и дошкольных учреждений</w:t>
        <w:tab/>
        <w:t xml:space="preserve">разработано в  соответствии</w:t>
        <w:tab/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Законом Российской</w:t>
        <w:tab/>
        <w:t xml:space="preserve">Федерации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</w:t>
        <w:tab/>
        <w:t xml:space="preserve">образовании</w:t>
        <w:tab/>
        <w:t xml:space="preserve">в Российской 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29.12.2012  г.  №  273-ФЗ,</w:t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Министерства образования и науки РФ от 08.04.2014 г. № 293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приема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 </w:t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Минпросвещения России от 21.01.2019 N 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293"; </w:t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02.12.2019 № 411-ФЗ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статью 54 Семейного кодекса Российской Федерации и статью 67 Федерального закона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Письмом департамента государственной политики в сфере общего образования Министерства образования и науки Российской Федерации  от</w:t>
        <w:tab/>
        <w:t xml:space="preserve">08.08.2013г.  № 08-1063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  рекомендациях</w:t>
        <w:tab/>
        <w:t xml:space="preserve">по порядку  комплектования  дошкольных образовательных</w:t>
        <w:tab/>
        <w:t xml:space="preserve">учреждений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административным</w:t>
        <w:tab/>
        <w:t xml:space="preserve">регламентом предоставления муниципальной услуги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</w:t>
        <w:tab/>
        <w:t xml:space="preserve">предоставления дошкольного образования в группах общеразвивающей направленности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Благодарненского городского округа;</w:t>
      </w:r>
    </w:p>
    <w:p>
      <w:pPr>
        <w:numPr>
          <w:ilvl w:val="0"/>
          <w:numId w:val="16"/>
        </w:numPr>
        <w:tabs>
          <w:tab w:val="left" w:pos="0" w:leader="none"/>
          <w:tab w:val="left" w:pos="320" w:leader="none"/>
          <w:tab w:val="left" w:pos="1520" w:leader="none"/>
          <w:tab w:val="left" w:pos="2240" w:leader="none"/>
          <w:tab w:val="left" w:pos="2920" w:leader="none"/>
          <w:tab w:val="left" w:pos="3400" w:leader="none"/>
          <w:tab w:val="left" w:pos="3860" w:leader="none"/>
          <w:tab w:val="left" w:pos="5280" w:leader="none"/>
          <w:tab w:val="left" w:pos="6280" w:leader="none"/>
          <w:tab w:val="left" w:pos="7880" w:leader="none"/>
          <w:tab w:val="left" w:pos="954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 Учреждения.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Данный документ регулирует порядок и условия перевода, отчисления воспитанников муниципального дошкольного образовательного учреждения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Детский сад № 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далее- Учреждение/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 и условия осуществления перевода воспитанника из 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(далее - Порядок), устанавливают общие требования к процедуре и условиям осуществления перевода воспитанников из 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осуществляющую образовательную деятельность по образовательным программам соответствующего уровня и направленности (далее - принимающая организация), в следующих случаях: 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инициативе родителей (законных представителей) несовершеннолетнего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обучающегося (далее - обучающийся);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прекращения деятельности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»;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аннулирования лицензии на осуществление образовательной деятельности (далее - лицензия);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приостановления действия лицензии.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Управление образования и молодежной политики АБГО СК обеспечивает перевод воспитанников с письменного согласия их родителей (законных представителей).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Перевод воспитанников не зависит от периода (времени) учебного года.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Перевод воспитанника по инициативе его родителей (законных представителей)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перевода воспитанника по инициативе его родителей (законных представителей) родители (законные представители) воспитанника: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осуществляют выбор принимающей организации;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обращаются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отсутствии свободных мест в выбранной организации обращаются в УО и МП АБГО СК, для определения принимающей организации из числа муниципальных образовательных организаций; </w:t>
      </w:r>
    </w:p>
    <w:p>
      <w:pPr>
        <w:numPr>
          <w:ilvl w:val="0"/>
          <w:numId w:val="2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обращаются в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а) фамилия, имя, отчество (при наличии) обучающегося; б) дата рождения;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в) направленность группы;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г) наименование принимающей организации.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переезда в другую местность родителей (законных представителей) воспитанника,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основании заявления родителей (законных представителей) воспитанника об отчислении в порядке перевода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трехдневный срок издает распорядительный акт об отчислении воспитанника в порядке перевода с указанием принимающей организации.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выдает родителям (законным представителям) личное дело воспитанника (далее - личное дело).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Требование предоставления других документов в качестве основания для зачисления воспитанника в принимающую организацию в связи с переводом из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 допускается.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предъявлением оригинала документа, удостоверяющего личность родителя (законного представителя) воспитанника.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о зачислении воспитанника в порядке перевода.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Принимающая организация при зачислении воспитанника, отчисленного из исходной организации, в течение двух рабочих дней с даты издания распорядительного акта о зачислении воспитанника в порядке перевода письменно уведомляет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номере и дате распорядительного акта о зачислении воспитанника в принимающую организацию.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Перевод воспитанника в случае прекращения деятельности МДОУ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аннулирования лицензии, в случае приостановления действия лицензии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принятии решения о прекращении деятельности 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воспитанники на основании письменных согласий их родителей (законных представителей) на перевод.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предстоящем переводе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прекращения своей деятельности,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 принимающую организацию.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причине, влекущей за собой необходимость перевода воспитанников,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уведомляет учредителя, родителей (законных представителей) воспитанников в письменной форме, а также размещает указанное уведомление на своем официальном сайте в сети Интернет: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Учредитель, за исключением случая, указанного в пункте 12 настоящего Порядка, осуществляет выбор принимающей организации с использованием информации, предварительно полученной от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перевод воспитанников из исходной организации, а также о сроках предоставления письменных согласий родителей (законных представителей) воспитанников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3.6.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После получения письменных согласий родителей (законных представителей) воспитанников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издает распорядительный акт об отчислении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3.7.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3.8.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3.9.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аннулированием лицензии, приостановлением действия лицензии.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1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Перевод воспитанника внутри Учреждения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Перевод воспитанника внутри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может быть произведен: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следующую возрастную группу ежегодно не позднее 1 сентября;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другую возрастную группу на время карантина, в летний период.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Перевод внутри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осуществляется при наличии свободных мест в другой возрастной группе. 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Порядок отчисления воспитанника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Основанием для отчисления воспитанника является распорядительный акт (приказ) заведующего ДОУ, осуществляющего образовательную деятельность, об отчислении. Права и обязанности участников образовательного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Отчисление воспитанника из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может быть произведено по заявлению родителей (законным представителей) в следующих случаях: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связи с получением образования (завершением обучения по основной образовательной программе дошкольного образования и поступлении воспитанника в образовательную организацию для получения начального общего образования).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инициативе родителей (законных представителей), в том числе в случае перевода воспитанника для продолжения обучения по образовательной программе дошкольного образования в другую организацию, осуществляющую образовательную деятельность;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выбора родителями (законными представителями) воспитанника (до завершения освоения им образовательной программы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образования);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обстоятельствам, не зависящим от воли родителей (законных представителей) воспитанника и ДОУ, осуществляющей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 </w:t>
      </w:r>
    </w:p>
    <w:p>
      <w:pPr>
        <w:numPr>
          <w:ilvl w:val="0"/>
          <w:numId w:val="35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 иным причинам.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ВОССТАНОВЛЕНИЕ ОБУЧАЮЩИХСЯ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Обучающийся, отчисленный из 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личной инициативе или по инициативе родителей (законных представителей), имеет право на восстановление для обучения в группу в течение текущего учебного года,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07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3">
    <w:abstractNumId w:val="66"/>
  </w:num>
  <w:num w:numId="16">
    <w:abstractNumId w:val="60"/>
  </w:num>
  <w:num w:numId="19">
    <w:abstractNumId w:val="54"/>
  </w:num>
  <w:num w:numId="21">
    <w:abstractNumId w:val="48"/>
  </w:num>
  <w:num w:numId="23">
    <w:abstractNumId w:val="42"/>
  </w:num>
  <w:num w:numId="25">
    <w:abstractNumId w:val="36"/>
  </w:num>
  <w:num w:numId="27">
    <w:abstractNumId w:val="30"/>
  </w:num>
  <w:num w:numId="29">
    <w:abstractNumId w:val="24"/>
  </w:num>
  <w:num w:numId="31">
    <w:abstractNumId w:val="18"/>
  </w:num>
  <w:num w:numId="33">
    <w:abstractNumId w:val="12"/>
  </w:num>
  <w:num w:numId="35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